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49E34" w14:textId="2303FDB4" w:rsidR="00071D9B" w:rsidRDefault="00055874" w:rsidP="00055874">
      <w:pPr>
        <w:tabs>
          <w:tab w:val="left" w:pos="5834"/>
          <w:tab w:val="center" w:pos="6810"/>
        </w:tabs>
        <w:spacing w:after="1379" w:line="265" w:lineRule="auto"/>
      </w:pPr>
      <w:r>
        <w:rPr>
          <w:noProof/>
          <w:lang w:val="en-GB" w:bidi="en-GB"/>
        </w:rPr>
        <w:drawing>
          <wp:inline distT="0" distB="0" distL="0" distR="0" wp14:anchorId="6BC43A05" wp14:editId="4A1AAC6D">
            <wp:extent cx="1726040" cy="614856"/>
            <wp:effectExtent l="0" t="0" r="7620" b="0"/>
            <wp:docPr id="5" name="Bilde 5" descr="Et bilde som inneholder tegning, skil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descr="Et bilde som inneholder tegning, skilt&#10;&#10;Automatisk generert beskrivels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64936" cy="664334"/>
                    </a:xfrm>
                    <a:prstGeom prst="rect">
                      <a:avLst/>
                    </a:prstGeom>
                  </pic:spPr>
                </pic:pic>
              </a:graphicData>
            </a:graphic>
          </wp:inline>
        </w:drawing>
      </w:r>
      <w:r w:rsidR="00CD6920">
        <w:rPr>
          <w:sz w:val="24"/>
          <w:szCs w:val="24"/>
          <w:lang w:val="en-GB" w:bidi="en-GB"/>
        </w:rPr>
        <w:tab/>
      </w:r>
      <w:r w:rsidR="00CD6920">
        <w:rPr>
          <w:sz w:val="24"/>
          <w:szCs w:val="24"/>
          <w:lang w:val="en-GB" w:bidi="en-GB"/>
        </w:rPr>
        <w:tab/>
      </w:r>
    </w:p>
    <w:p w14:paraId="3ED49E35" w14:textId="6ABD9549" w:rsidR="00CD6920" w:rsidRDefault="00CD6920" w:rsidP="00970138">
      <w:pPr>
        <w:pBdr>
          <w:bottom w:val="single" w:sz="6" w:space="1" w:color="auto"/>
        </w:pBdr>
        <w:spacing w:line="276" w:lineRule="auto"/>
        <w:jc w:val="center"/>
        <w:rPr>
          <w:b/>
          <w:sz w:val="72"/>
          <w:szCs w:val="72"/>
        </w:rPr>
      </w:pPr>
      <w:r w:rsidRPr="00D53AF2">
        <w:rPr>
          <w:b/>
          <w:sz w:val="72"/>
          <w:szCs w:val="72"/>
          <w:lang w:val="en-GB" w:bidi="en-GB"/>
        </w:rPr>
        <w:t>EXAMINER GUIDELINES</w:t>
      </w:r>
    </w:p>
    <w:p w14:paraId="3ED49E36" w14:textId="77777777" w:rsidR="00D53AF2" w:rsidRDefault="00D53AF2" w:rsidP="00970138">
      <w:pPr>
        <w:spacing w:after="0" w:line="480" w:lineRule="auto"/>
        <w:ind w:left="103" w:hanging="10"/>
        <w:rPr>
          <w:b/>
        </w:rPr>
      </w:pPr>
      <w:r>
        <w:rPr>
          <w:b/>
          <w:lang w:val="en-GB" w:bidi="en-GB"/>
        </w:rPr>
        <w:t xml:space="preserve">Faculty: </w:t>
      </w:r>
    </w:p>
    <w:p w14:paraId="3ED49E37" w14:textId="77777777" w:rsidR="00970138" w:rsidRDefault="00970138" w:rsidP="00970138">
      <w:pPr>
        <w:spacing w:after="0" w:line="480" w:lineRule="auto"/>
        <w:ind w:left="103" w:hanging="10"/>
        <w:rPr>
          <w:b/>
        </w:rPr>
      </w:pPr>
      <w:r>
        <w:rPr>
          <w:b/>
          <w:lang w:val="en-GB" w:bidi="en-GB"/>
        </w:rPr>
        <w:t>Course code and course name:</w:t>
      </w:r>
    </w:p>
    <w:p w14:paraId="3ED49E38" w14:textId="77777777" w:rsidR="00D53AF2" w:rsidRDefault="00D53AF2" w:rsidP="00970138">
      <w:pPr>
        <w:spacing w:after="0" w:line="480" w:lineRule="auto"/>
        <w:ind w:left="103" w:hanging="10"/>
        <w:rPr>
          <w:b/>
        </w:rPr>
      </w:pPr>
      <w:r>
        <w:rPr>
          <w:b/>
          <w:lang w:val="en-GB" w:bidi="en-GB"/>
        </w:rPr>
        <w:t>Course coordinator:</w:t>
      </w:r>
    </w:p>
    <w:p w14:paraId="3ED49E39" w14:textId="77777777" w:rsidR="00071D9B" w:rsidRPr="00970138" w:rsidRDefault="00CD6920" w:rsidP="00970138">
      <w:pPr>
        <w:spacing w:after="0" w:line="480" w:lineRule="auto"/>
        <w:ind w:left="103" w:hanging="10"/>
        <w:rPr>
          <w:b/>
        </w:rPr>
      </w:pPr>
      <w:r w:rsidRPr="00970138">
        <w:rPr>
          <w:b/>
          <w:lang w:val="en-GB" w:bidi="en-GB"/>
        </w:rPr>
        <w:t xml:space="preserve">Date/time: </w:t>
      </w:r>
    </w:p>
    <w:p w14:paraId="3ED49E3A" w14:textId="77777777" w:rsidR="00970138" w:rsidRPr="00DF20F4" w:rsidRDefault="00970138" w:rsidP="00970138">
      <w:pPr>
        <w:spacing w:after="0" w:line="480" w:lineRule="auto"/>
        <w:ind w:left="103" w:hanging="10"/>
      </w:pPr>
      <w:r w:rsidRPr="00970138">
        <w:rPr>
          <w:b/>
          <w:lang w:val="en-GB" w:bidi="en-GB"/>
        </w:rPr>
        <w:t xml:space="preserve">Grade: </w:t>
      </w:r>
      <w:r w:rsidRPr="00970138">
        <w:rPr>
          <w:b/>
          <w:lang w:val="en-GB" w:bidi="en-GB"/>
        </w:rPr>
        <w:tab/>
      </w:r>
      <w:r w:rsidRPr="00970138">
        <w:rPr>
          <w:b/>
          <w:lang w:val="en-GB" w:bidi="en-GB"/>
        </w:rPr>
        <w:tab/>
      </w:r>
      <w:r w:rsidRPr="00970138">
        <w:rPr>
          <w:b/>
          <w:lang w:val="en-GB" w:bidi="en-GB"/>
        </w:rPr>
        <w:tab/>
      </w:r>
      <w:r w:rsidRPr="00970138">
        <w:rPr>
          <w:b/>
          <w:lang w:val="en-GB" w:bidi="en-GB"/>
        </w:rPr>
        <w:tab/>
      </w:r>
      <w:r w:rsidRPr="00970138">
        <w:rPr>
          <w:lang w:val="en-GB" w:bidi="en-GB"/>
        </w:rPr>
        <w:t>Enter a grade A-F, or pass/fail</w:t>
      </w:r>
    </w:p>
    <w:p w14:paraId="3ED49E3B" w14:textId="77777777" w:rsidR="00D53AF2" w:rsidRPr="00970138" w:rsidRDefault="00D53AF2" w:rsidP="00970138">
      <w:pPr>
        <w:spacing w:after="0" w:line="480" w:lineRule="auto"/>
        <w:ind w:left="103" w:hanging="10"/>
        <w:rPr>
          <w:b/>
        </w:rPr>
      </w:pPr>
    </w:p>
    <w:p w14:paraId="3ED49E3C" w14:textId="77777777" w:rsidR="00970138" w:rsidRPr="00970138" w:rsidRDefault="00970138" w:rsidP="00970138">
      <w:pPr>
        <w:spacing w:after="0" w:line="480" w:lineRule="auto"/>
        <w:ind w:left="103" w:hanging="10"/>
      </w:pPr>
      <w:r w:rsidRPr="00970138">
        <w:rPr>
          <w:b/>
          <w:lang w:val="en-GB" w:bidi="en-GB"/>
        </w:rPr>
        <w:t xml:space="preserve">Number of pages: </w:t>
      </w:r>
      <w:r w:rsidRPr="00970138">
        <w:rPr>
          <w:b/>
          <w:lang w:val="en-GB" w:bidi="en-GB"/>
        </w:rPr>
        <w:tab/>
      </w:r>
      <w:r w:rsidRPr="00970138">
        <w:rPr>
          <w:b/>
          <w:lang w:val="en-GB" w:bidi="en-GB"/>
        </w:rPr>
        <w:tab/>
      </w:r>
      <w:r w:rsidRPr="00970138">
        <w:rPr>
          <w:b/>
          <w:lang w:val="en-GB" w:bidi="en-GB"/>
        </w:rPr>
        <w:tab/>
      </w:r>
      <w:r w:rsidRPr="00970138">
        <w:rPr>
          <w:b/>
          <w:lang w:val="en-GB" w:bidi="en-GB"/>
        </w:rPr>
        <w:tab/>
      </w:r>
      <w:r w:rsidRPr="00970138">
        <w:rPr>
          <w:lang w:val="en-GB" w:bidi="en-GB"/>
        </w:rPr>
        <w:t>#</w:t>
      </w:r>
    </w:p>
    <w:p w14:paraId="3ED49E3D" w14:textId="77777777" w:rsidR="00970138" w:rsidRPr="00452376" w:rsidRDefault="00CD6920" w:rsidP="00970138">
      <w:pPr>
        <w:spacing w:after="258"/>
        <w:ind w:left="93"/>
        <w:rPr>
          <w:b/>
          <w:color w:val="auto"/>
          <w:shd w:val="clear" w:color="auto" w:fill="FFFF00"/>
        </w:rPr>
      </w:pPr>
      <w:r w:rsidRPr="00452376">
        <w:rPr>
          <w:color w:val="auto"/>
          <w:shd w:val="clear" w:color="auto" w:fill="FFFF00"/>
          <w:lang w:val="en-GB" w:bidi="en-GB"/>
        </w:rPr>
        <w:br/>
      </w:r>
    </w:p>
    <w:p w14:paraId="3ED49E3E" w14:textId="77777777" w:rsidR="00071D9B" w:rsidRPr="00452376" w:rsidRDefault="00CD6920" w:rsidP="00970138">
      <w:pPr>
        <w:spacing w:after="258"/>
        <w:ind w:left="93"/>
        <w:rPr>
          <w:b/>
          <w:color w:val="auto"/>
        </w:rPr>
      </w:pPr>
      <w:r w:rsidRPr="00452376">
        <w:rPr>
          <w:b/>
          <w:color w:val="auto"/>
          <w:shd w:val="clear" w:color="auto" w:fill="FFFF00"/>
          <w:lang w:val="en-GB" w:bidi="en-GB"/>
        </w:rPr>
        <w:t>NB! Examiner guidelines will be inserted into page 3 and subsequent pages when necessary.</w:t>
      </w:r>
      <w:r w:rsidRPr="00452376">
        <w:rPr>
          <w:b/>
          <w:color w:val="auto"/>
          <w:lang w:val="en-GB" w:bidi="en-GB"/>
        </w:rPr>
        <w:t xml:space="preserve"> </w:t>
      </w:r>
    </w:p>
    <w:p w14:paraId="3ED49E3F" w14:textId="77777777" w:rsidR="00CD6920" w:rsidRPr="00970138" w:rsidRDefault="00CD6920">
      <w:pPr>
        <w:spacing w:after="240" w:line="226" w:lineRule="auto"/>
        <w:ind w:left="-5" w:hanging="10"/>
      </w:pPr>
      <w:r w:rsidRPr="00970138">
        <w:rPr>
          <w:noProof/>
          <w:lang w:val="en-GB" w:bidi="en-GB"/>
        </w:rPr>
        <mc:AlternateContent>
          <mc:Choice Requires="wpg">
            <w:drawing>
              <wp:inline distT="0" distB="0" distL="0" distR="0" wp14:anchorId="3ED49E69" wp14:editId="3ED49E6A">
                <wp:extent cx="5800090" cy="5433"/>
                <wp:effectExtent l="0" t="0" r="0" b="0"/>
                <wp:docPr id="1" name="Group 965"/>
                <wp:cNvGraphicFramePr/>
                <a:graphic xmlns:a="http://schemas.openxmlformats.org/drawingml/2006/main">
                  <a:graphicData uri="http://schemas.microsoft.com/office/word/2010/wordprocessingGroup">
                    <wpg:wgp>
                      <wpg:cNvGrpSpPr/>
                      <wpg:grpSpPr>
                        <a:xfrm>
                          <a:off x="0" y="0"/>
                          <a:ext cx="5800090" cy="5433"/>
                          <a:chOff x="0" y="0"/>
                          <a:chExt cx="6101538" cy="6096"/>
                        </a:xfrm>
                      </wpg:grpSpPr>
                      <wps:wsp>
                        <wps:cNvPr id="2" name="Shape 1443"/>
                        <wps:cNvSpPr/>
                        <wps:spPr>
                          <a:xfrm>
                            <a:off x="0" y="0"/>
                            <a:ext cx="1620266" cy="9144"/>
                          </a:xfrm>
                          <a:custGeom>
                            <a:avLst/>
                            <a:gdLst/>
                            <a:ahLst/>
                            <a:cxnLst/>
                            <a:rect l="0" t="0" r="0" b="0"/>
                            <a:pathLst>
                              <a:path w="1620266" h="9144">
                                <a:moveTo>
                                  <a:pt x="0" y="0"/>
                                </a:moveTo>
                                <a:lnTo>
                                  <a:pt x="1620266" y="0"/>
                                </a:lnTo>
                                <a:lnTo>
                                  <a:pt x="16202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 name="Shape 1444"/>
                        <wps:cNvSpPr/>
                        <wps:spPr>
                          <a:xfrm>
                            <a:off x="162034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 name="Shape 1445"/>
                        <wps:cNvSpPr/>
                        <wps:spPr>
                          <a:xfrm>
                            <a:off x="1626438" y="0"/>
                            <a:ext cx="4475099" cy="9144"/>
                          </a:xfrm>
                          <a:custGeom>
                            <a:avLst/>
                            <a:gdLst/>
                            <a:ahLst/>
                            <a:cxnLst/>
                            <a:rect l="0" t="0" r="0" b="0"/>
                            <a:pathLst>
                              <a:path w="4475099" h="9144">
                                <a:moveTo>
                                  <a:pt x="0" y="0"/>
                                </a:moveTo>
                                <a:lnTo>
                                  <a:pt x="4475099" y="0"/>
                                </a:lnTo>
                                <a:lnTo>
                                  <a:pt x="44750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E5424F8" id="Group 965" o:spid="_x0000_s1026" style="width:456.7pt;height:.45pt;mso-position-horizontal-relative:char;mso-position-vertical-relative:line" coordsize="610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">
                <v:shape id="Shape 1443" o:spid="_x0000_s1027" style="position:absolute;width:16202;height:91;visibility:visible;mso-wrap-style:square;v-text-anchor:top" coordsize="16202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" path="m,l1620266,r,9144l,9144,,e" fillcolor="black" stroked="f" strokeweight="0">
                  <v:stroke miterlimit="83231f" joinstyle="miter"/>
                  <v:path arrowok="t" textboxrect="0,0,1620266,9144"/>
                </v:shape>
                <v:shape id="Shape 1444" o:spid="_x0000_s1028" style="position:absolute;left:1620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" path="m,l9144,r,9144l,9144,,e" fillcolor="black" stroked="f" strokeweight="0">
                  <v:stroke miterlimit="83231f" joinstyle="miter"/>
                  <v:path arrowok="t" textboxrect="0,0,9144,9144"/>
                </v:shape>
                <v:shape id="Shape 1445" o:spid="_x0000_s1029" style="position:absolute;left:16264;width:44751;height:91;visibility:visible;mso-wrap-style:square;v-text-anchor:top" coordsize="447509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" path="m,l4475099,r,9144l,9144,,e" fillcolor="black" stroked="f" strokeweight="0">
                  <v:stroke miterlimit="83231f" joinstyle="miter"/>
                  <v:path arrowok="t" textboxrect="0,0,4475099,9144"/>
                </v:shape>
                <w10:anchorlock/>
              </v:group>
            </w:pict>
          </mc:Fallback>
        </mc:AlternateContent>
      </w:r>
    </w:p>
    <w:p w14:paraId="3ED49E40" w14:textId="77777777" w:rsidR="00970138" w:rsidRPr="00970138" w:rsidRDefault="00970138">
      <w:pPr>
        <w:spacing w:after="240" w:line="226" w:lineRule="auto"/>
        <w:ind w:left="-5" w:hanging="10"/>
      </w:pPr>
    </w:p>
    <w:p w14:paraId="3ED49E41" w14:textId="7C76B6B8" w:rsidR="00071D9B" w:rsidRPr="00970138" w:rsidRDefault="00CD6920">
      <w:pPr>
        <w:spacing w:after="240" w:line="226" w:lineRule="auto"/>
        <w:ind w:left="-5" w:hanging="10"/>
      </w:pPr>
      <w:r w:rsidRPr="00970138">
        <w:rPr>
          <w:lang w:val="en-GB" w:bidi="en-GB"/>
        </w:rPr>
        <w:t xml:space="preserve">There shall be written examiner guidelines in place for the assessment of all examinations at Nord University, cf. </w:t>
      </w:r>
      <w:r w:rsidRPr="006F41F2">
        <w:rPr>
          <w:u w:color="000000"/>
          <w:lang w:val="en-GB" w:bidi="en-GB"/>
        </w:rPr>
        <w:t>Section 10-3(2) of the Regulations relating to studies and examinations at Nord University</w:t>
      </w:r>
      <w:r w:rsidR="006F41F2">
        <w:t>.</w:t>
      </w:r>
      <w:r w:rsidRPr="006F41F2">
        <w:t xml:space="preserve"> </w:t>
      </w:r>
    </w:p>
    <w:p w14:paraId="3ED49E42" w14:textId="77777777" w:rsidR="00071D9B" w:rsidRPr="00970138" w:rsidRDefault="00CD6920">
      <w:pPr>
        <w:spacing w:after="240" w:line="226" w:lineRule="auto"/>
        <w:ind w:left="-5" w:hanging="10"/>
      </w:pPr>
      <w:r w:rsidRPr="00970138">
        <w:rPr>
          <w:lang w:val="en-GB" w:bidi="en-GB"/>
        </w:rPr>
        <w:t xml:space="preserve">The examiner guidelines shall contribute to ensuring that the institution’s obligation to provide academically justifiable and impartial assessment, as well as ensuring academic standards across all studies, are upheld, cf. </w:t>
      </w:r>
      <w:r w:rsidRPr="006F41F2">
        <w:rPr>
          <w:u w:color="000000"/>
          <w:lang w:val="en-GB" w:bidi="en-GB"/>
        </w:rPr>
        <w:t>Section 3-9 (1) of the Act relating to universities and university colleges</w:t>
      </w:r>
      <w:r w:rsidRPr="006F41F2">
        <w:rPr>
          <w:lang w:val="en-GB" w:bidi="en-GB"/>
        </w:rPr>
        <w:t xml:space="preserve">.  </w:t>
      </w:r>
    </w:p>
    <w:p w14:paraId="3ED49E43" w14:textId="77777777" w:rsidR="00071D9B" w:rsidRPr="00970138" w:rsidRDefault="00CD6920">
      <w:pPr>
        <w:spacing w:after="240" w:line="226" w:lineRule="auto"/>
        <w:ind w:left="-5" w:hanging="10"/>
      </w:pPr>
      <w:r w:rsidRPr="00970138">
        <w:rPr>
          <w:lang w:val="en-GB" w:bidi="en-GB"/>
        </w:rPr>
        <w:t xml:space="preserve">The examiner guidelines shall be prepared by the person(s) that prepares the examination questions for the relevant examination and shall be prepared at the same time as the examination question paper. </w:t>
      </w:r>
    </w:p>
    <w:p w14:paraId="3ED49E44" w14:textId="1855BC32" w:rsidR="00071D9B" w:rsidRPr="006F41F2" w:rsidRDefault="00CD6920">
      <w:pPr>
        <w:spacing w:after="240" w:line="226" w:lineRule="auto"/>
        <w:ind w:left="-5" w:hanging="10"/>
        <w:rPr>
          <w:lang w:val="en-GB" w:bidi="en-GB"/>
        </w:rPr>
      </w:pPr>
      <w:r w:rsidRPr="00970138">
        <w:rPr>
          <w:lang w:val="en-GB" w:bidi="en-GB"/>
        </w:rPr>
        <w:t xml:space="preserve">The examiner guidelines shall be available to students when examination results are published, cf. </w:t>
      </w:r>
      <w:r w:rsidRPr="006F41F2">
        <w:rPr>
          <w:u w:color="000000"/>
          <w:lang w:val="en-GB" w:bidi="en-GB"/>
        </w:rPr>
        <w:t>Section 5-3 (3)</w:t>
      </w:r>
      <w:r w:rsidRPr="006F41F2">
        <w:rPr>
          <w:lang w:val="en-GB" w:bidi="en-GB"/>
        </w:rPr>
        <w:t xml:space="preserve"> </w:t>
      </w:r>
      <w:r w:rsidRPr="006F41F2">
        <w:rPr>
          <w:u w:color="000000"/>
          <w:lang w:val="en-GB" w:bidi="en-GB"/>
        </w:rPr>
        <w:t>of the Act relating to universities and university colleges</w:t>
      </w:r>
      <w:r w:rsidRPr="006F41F2">
        <w:rPr>
          <w:lang w:val="en-GB" w:bidi="en-GB"/>
        </w:rPr>
        <w:t>.</w:t>
      </w:r>
    </w:p>
    <w:p w14:paraId="2C218882" w14:textId="557D1D17" w:rsidR="006F41F2" w:rsidRPr="00970138" w:rsidRDefault="006F41F2">
      <w:pPr>
        <w:spacing w:after="240" w:line="226" w:lineRule="auto"/>
        <w:ind w:left="-5" w:hanging="10"/>
      </w:pPr>
      <w:r>
        <w:rPr>
          <w:lang w:val="en-GB" w:bidi="en-GB"/>
        </w:rPr>
        <w:t xml:space="preserve">Information for examiners at Nord University: </w:t>
      </w:r>
      <w:hyperlink r:id="rId11" w:history="1">
        <w:r w:rsidRPr="00BF626A">
          <w:rPr>
            <w:rStyle w:val="Hyperkobling"/>
            <w:lang w:val="en-GB" w:bidi="en-GB"/>
          </w:rPr>
          <w:t>nord.no/en/</w:t>
        </w:r>
        <w:r>
          <w:rPr>
            <w:rStyle w:val="Hyperkobling"/>
            <w:lang w:val="en-GB" w:bidi="en-GB"/>
          </w:rPr>
          <w:t>s</w:t>
        </w:r>
        <w:r w:rsidRPr="00BF626A">
          <w:rPr>
            <w:rStyle w:val="Hyperkobling"/>
            <w:lang w:val="en-GB" w:bidi="en-GB"/>
          </w:rPr>
          <w:t>tudent/exam/examiners/</w:t>
        </w:r>
      </w:hyperlink>
      <w:r>
        <w:rPr>
          <w:lang w:val="en-GB" w:bidi="en-GB"/>
        </w:rPr>
        <w:t xml:space="preserve"> </w:t>
      </w:r>
    </w:p>
    <w:p w14:paraId="3ED49E45" w14:textId="77777777" w:rsidR="00071D9B" w:rsidRPr="00970138" w:rsidRDefault="00CD6920">
      <w:pPr>
        <w:spacing w:after="0"/>
        <w:jc w:val="right"/>
      </w:pPr>
      <w:r w:rsidRPr="00970138">
        <w:rPr>
          <w:lang w:val="en-GB" w:bidi="en-GB"/>
        </w:rPr>
        <w:lastRenderedPageBreak/>
        <w:t xml:space="preserve"> </w:t>
      </w:r>
    </w:p>
    <w:p w14:paraId="3ED49E46" w14:textId="77777777" w:rsidR="00CD6920" w:rsidRPr="00970138" w:rsidRDefault="00CD6920">
      <w:pPr>
        <w:spacing w:after="0" w:line="265" w:lineRule="auto"/>
        <w:ind w:left="118" w:right="909" w:hanging="10"/>
        <w:jc w:val="right"/>
      </w:pPr>
      <w:r w:rsidRPr="00970138">
        <w:rPr>
          <w:lang w:val="en-GB" w:bidi="en-GB"/>
        </w:rPr>
        <w:t xml:space="preserve"> </w:t>
      </w:r>
    </w:p>
    <w:p w14:paraId="3ED49E4C" w14:textId="77777777" w:rsidR="00970138" w:rsidRPr="00970138" w:rsidRDefault="00CD6920" w:rsidP="00970138">
      <w:pPr>
        <w:jc w:val="center"/>
        <w:rPr>
          <w:sz w:val="36"/>
        </w:rPr>
      </w:pPr>
      <w:r w:rsidRPr="00970138">
        <w:rPr>
          <w:sz w:val="36"/>
          <w:szCs w:val="36"/>
          <w:lang w:val="en-GB" w:bidi="en-GB"/>
        </w:rPr>
        <w:t>Examiner guidelines - guidance template for content</w:t>
      </w:r>
    </w:p>
    <w:p w14:paraId="3ED49E4D" w14:textId="77777777" w:rsidR="00970138" w:rsidRDefault="00CD6920" w:rsidP="00970138">
      <w:pPr>
        <w:pBdr>
          <w:bottom w:val="single" w:sz="4" w:space="1" w:color="auto"/>
        </w:pBdr>
      </w:pPr>
      <w:r>
        <w:rPr>
          <w:lang w:val="en-GB" w:bidi="en-GB"/>
        </w:rPr>
        <w:t xml:space="preserve"> </w:t>
      </w:r>
    </w:p>
    <w:p w14:paraId="3ED49E4E" w14:textId="77777777" w:rsidR="00970138" w:rsidRDefault="00970138" w:rsidP="00970138"/>
    <w:p w14:paraId="3ED49E4F" w14:textId="51164BC1" w:rsidR="00071D9B" w:rsidRDefault="00CD6920">
      <w:pPr>
        <w:numPr>
          <w:ilvl w:val="0"/>
          <w:numId w:val="1"/>
        </w:numPr>
        <w:spacing w:after="26"/>
        <w:ind w:right="11" w:hanging="360"/>
      </w:pPr>
      <w:r>
        <w:rPr>
          <w:b/>
          <w:lang w:val="en-GB" w:bidi="en-GB"/>
        </w:rPr>
        <w:t>Overall criteria for assessment:</w:t>
      </w:r>
      <w:r>
        <w:rPr>
          <w:lang w:val="en-GB" w:bidi="en-GB"/>
        </w:rPr>
        <w:t xml:space="preserve"> Learning outcomes and/or assessment criteria set for the individual examination (e.g. practical examination/oral examination, bachelor’s thesis/master's thesis and other large assignments) </w:t>
      </w:r>
      <w:r w:rsidR="006F41F2">
        <w:rPr>
          <w:lang w:val="en-GB" w:bidi="en-GB"/>
        </w:rPr>
        <w:br/>
      </w:r>
    </w:p>
    <w:p w14:paraId="3ED49E50" w14:textId="746AFE9A" w:rsidR="00071D9B" w:rsidRDefault="00000000">
      <w:pPr>
        <w:numPr>
          <w:ilvl w:val="0"/>
          <w:numId w:val="1"/>
        </w:numPr>
        <w:spacing w:after="2" w:line="257" w:lineRule="auto"/>
        <w:ind w:right="11" w:hanging="360"/>
      </w:pPr>
      <w:hyperlink r:id="rId12" w:history="1">
        <w:r w:rsidR="00CD6920" w:rsidRPr="006F41F2">
          <w:rPr>
            <w:rStyle w:val="Hyperkobling"/>
            <w:bCs/>
            <w:lang w:val="en-GB" w:bidi="en-GB"/>
          </w:rPr>
          <w:t>General description of grades for the higher education sector</w:t>
        </w:r>
      </w:hyperlink>
      <w:r w:rsidR="00CD6920">
        <w:rPr>
          <w:lang w:val="en-GB" w:bidi="en-GB"/>
        </w:rPr>
        <w:t xml:space="preserve">(6 August 2004), </w:t>
      </w:r>
    </w:p>
    <w:p w14:paraId="3ED49E52" w14:textId="5F6507A6" w:rsidR="00071D9B" w:rsidRDefault="00000000" w:rsidP="006F41F2">
      <w:pPr>
        <w:spacing w:after="1"/>
        <w:ind w:left="720" w:right="11"/>
      </w:pPr>
      <w:hyperlink r:id="rId13" w:history="1">
        <w:r w:rsidR="00CD6920" w:rsidRPr="006F41F2">
          <w:rPr>
            <w:rStyle w:val="Hyperkobling"/>
            <w:lang w:val="en-GB" w:bidi="en-GB"/>
          </w:rPr>
          <w:t>Subject-specific descriptions of grades, if applicable.</w:t>
        </w:r>
      </w:hyperlink>
      <w:r w:rsidR="00CD6920">
        <w:rPr>
          <w:lang w:val="en-GB" w:bidi="en-GB"/>
        </w:rPr>
        <w:t xml:space="preserve"> Cf. Universities Norway, or a description of the requirements for a </w:t>
      </w:r>
      <w:r w:rsidR="00CD6920">
        <w:rPr>
          <w:b/>
          <w:lang w:val="en-GB" w:bidi="en-GB"/>
        </w:rPr>
        <w:t>pass/fail grade</w:t>
      </w:r>
      <w:r w:rsidR="00CD6920">
        <w:rPr>
          <w:lang w:val="en-GB" w:bidi="en-GB"/>
        </w:rPr>
        <w:t xml:space="preserve"> (depending on the expression of grades for the individual examination in question) </w:t>
      </w:r>
      <w:r w:rsidR="006F41F2">
        <w:rPr>
          <w:lang w:val="en-GB" w:bidi="en-GB"/>
        </w:rPr>
        <w:br/>
      </w:r>
    </w:p>
    <w:p w14:paraId="3ED49E53" w14:textId="41E351A8" w:rsidR="00071D9B" w:rsidRDefault="00CD6920">
      <w:pPr>
        <w:numPr>
          <w:ilvl w:val="0"/>
          <w:numId w:val="1"/>
        </w:numPr>
        <w:spacing w:after="26"/>
        <w:ind w:right="11" w:hanging="360"/>
      </w:pPr>
      <w:r>
        <w:rPr>
          <w:b/>
          <w:lang w:val="en-GB" w:bidi="en-GB"/>
        </w:rPr>
        <w:t>Relevant syllabus for the examination questions.</w:t>
      </w:r>
      <w:r>
        <w:rPr>
          <w:lang w:val="en-GB" w:bidi="en-GB"/>
        </w:rPr>
        <w:t xml:space="preserve"> For specific questions, a syllabus reference should be provided for individual questions. </w:t>
      </w:r>
      <w:r w:rsidR="006F41F2">
        <w:rPr>
          <w:lang w:val="en-GB" w:bidi="en-GB"/>
        </w:rPr>
        <w:br/>
      </w:r>
    </w:p>
    <w:p w14:paraId="3ED49E54" w14:textId="48C07884" w:rsidR="00071D9B" w:rsidRDefault="00CD6920">
      <w:pPr>
        <w:numPr>
          <w:ilvl w:val="0"/>
          <w:numId w:val="1"/>
        </w:numPr>
        <w:spacing w:after="26"/>
        <w:ind w:right="11" w:hanging="360"/>
      </w:pPr>
      <w:r>
        <w:rPr>
          <w:b/>
          <w:lang w:val="en-GB" w:bidi="en-GB"/>
        </w:rPr>
        <w:t>Expectations for answering</w:t>
      </w:r>
      <w:r>
        <w:rPr>
          <w:lang w:val="en-GB" w:bidi="en-GB"/>
        </w:rPr>
        <w:t xml:space="preserve">. In the case of examinations with several specific questions, describe expectations of what will give full marks on an individual questions, and if applicable what is expected in order to obtain a pass for an answer. The question will determine how specifically the examiner guidelines can be drawn up. If scoring is being used as examination support material in the assessment, there should be a broad description of how points are distributed.  </w:t>
      </w:r>
      <w:r w:rsidR="006F41F2">
        <w:rPr>
          <w:lang w:val="en-GB" w:bidi="en-GB"/>
        </w:rPr>
        <w:br/>
      </w:r>
    </w:p>
    <w:p w14:paraId="3ED49E55" w14:textId="1ADC3BAB" w:rsidR="00071D9B" w:rsidRDefault="00CD6920">
      <w:pPr>
        <w:numPr>
          <w:ilvl w:val="0"/>
          <w:numId w:val="1"/>
        </w:numPr>
        <w:spacing w:after="26"/>
        <w:ind w:right="11" w:hanging="360"/>
      </w:pPr>
      <w:r>
        <w:rPr>
          <w:b/>
          <w:lang w:val="en-GB" w:bidi="en-GB"/>
        </w:rPr>
        <w:t>The use of academic judgment – holistic assessment</w:t>
      </w:r>
      <w:r>
        <w:rPr>
          <w:lang w:val="en-GB" w:bidi="en-GB"/>
        </w:rPr>
        <w:t xml:space="preserve"> should be clarified, in accordance with general expressions of grades and/or assessment criteria for the examination in question. </w:t>
      </w:r>
      <w:r w:rsidR="006F41F2">
        <w:rPr>
          <w:lang w:val="en-GB" w:bidi="en-GB"/>
        </w:rPr>
        <w:br/>
      </w:r>
    </w:p>
    <w:p w14:paraId="3ED49E56" w14:textId="77777777" w:rsidR="00071D9B" w:rsidRDefault="00CD6920">
      <w:pPr>
        <w:numPr>
          <w:ilvl w:val="0"/>
          <w:numId w:val="1"/>
        </w:numPr>
        <w:spacing w:after="170"/>
        <w:ind w:right="11" w:hanging="360"/>
      </w:pPr>
      <w:r>
        <w:rPr>
          <w:b/>
          <w:lang w:val="en-GB" w:bidi="en-GB"/>
        </w:rPr>
        <w:t>Other matters of importance for assessment. (</w:t>
      </w:r>
      <w:r>
        <w:rPr>
          <w:lang w:val="en-GB" w:bidi="en-GB"/>
        </w:rPr>
        <w:t xml:space="preserve">E.g. if tasks are to be weighted differently, if some of the syllabus is less weighted than other parts, any applicable plagiarism checks etc.) </w:t>
      </w:r>
    </w:p>
    <w:p w14:paraId="3ED49E57" w14:textId="77777777" w:rsidR="00071D9B" w:rsidRDefault="00CD6920">
      <w:pPr>
        <w:spacing w:after="0"/>
      </w:pPr>
      <w:r>
        <w:rPr>
          <w:sz w:val="24"/>
          <w:szCs w:val="24"/>
          <w:lang w:val="en-GB" w:bidi="en-GB"/>
        </w:rPr>
        <w:t xml:space="preserve"> </w:t>
      </w:r>
    </w:p>
    <w:p w14:paraId="3ED49E58" w14:textId="77777777" w:rsidR="00071D9B" w:rsidRDefault="00CD6920">
      <w:pPr>
        <w:spacing w:after="0"/>
      </w:pPr>
      <w:r>
        <w:rPr>
          <w:sz w:val="24"/>
          <w:szCs w:val="24"/>
          <w:lang w:val="en-GB" w:bidi="en-GB"/>
        </w:rPr>
        <w:t xml:space="preserve">  </w:t>
      </w:r>
    </w:p>
    <w:p w14:paraId="3ED49E59" w14:textId="77777777" w:rsidR="00071D9B" w:rsidRDefault="00CD6920">
      <w:pPr>
        <w:spacing w:after="0"/>
      </w:pPr>
      <w:r>
        <w:rPr>
          <w:sz w:val="24"/>
          <w:szCs w:val="24"/>
          <w:lang w:val="en-GB" w:bidi="en-GB"/>
        </w:rPr>
        <w:t xml:space="preserve"> </w:t>
      </w:r>
    </w:p>
    <w:p w14:paraId="3ED49E5A" w14:textId="77777777" w:rsidR="00071D9B" w:rsidRDefault="00CD6920">
      <w:pPr>
        <w:spacing w:after="0"/>
      </w:pPr>
      <w:r>
        <w:rPr>
          <w:sz w:val="24"/>
          <w:szCs w:val="24"/>
          <w:lang w:val="en-GB" w:bidi="en-GB"/>
        </w:rPr>
        <w:t xml:space="preserve"> </w:t>
      </w:r>
    </w:p>
    <w:p w14:paraId="3ED49E5B" w14:textId="77777777" w:rsidR="00071D9B" w:rsidRDefault="00CD6920">
      <w:pPr>
        <w:spacing w:after="0"/>
      </w:pPr>
      <w:r>
        <w:rPr>
          <w:sz w:val="24"/>
          <w:szCs w:val="24"/>
          <w:lang w:val="en-GB" w:bidi="en-GB"/>
        </w:rPr>
        <w:t xml:space="preserve"> </w:t>
      </w:r>
    </w:p>
    <w:p w14:paraId="3ED49E5C" w14:textId="77777777" w:rsidR="00071D9B" w:rsidRDefault="00CD6920">
      <w:pPr>
        <w:spacing w:after="0"/>
      </w:pPr>
      <w:r>
        <w:rPr>
          <w:sz w:val="24"/>
          <w:szCs w:val="24"/>
          <w:lang w:val="en-GB" w:bidi="en-GB"/>
        </w:rPr>
        <w:t xml:space="preserve"> </w:t>
      </w:r>
    </w:p>
    <w:p w14:paraId="3ED49E5D" w14:textId="77777777" w:rsidR="00071D9B" w:rsidRDefault="00CD6920">
      <w:pPr>
        <w:spacing w:after="0"/>
      </w:pPr>
      <w:r>
        <w:rPr>
          <w:sz w:val="24"/>
          <w:szCs w:val="24"/>
          <w:lang w:val="en-GB" w:bidi="en-GB"/>
        </w:rPr>
        <w:t xml:space="preserve"> </w:t>
      </w:r>
    </w:p>
    <w:p w14:paraId="3ED49E5E" w14:textId="77777777" w:rsidR="00071D9B" w:rsidRDefault="00CD6920">
      <w:pPr>
        <w:spacing w:after="0"/>
      </w:pPr>
      <w:r>
        <w:rPr>
          <w:sz w:val="24"/>
          <w:szCs w:val="24"/>
          <w:lang w:val="en-GB" w:bidi="en-GB"/>
        </w:rPr>
        <w:t xml:space="preserve"> </w:t>
      </w:r>
    </w:p>
    <w:p w14:paraId="3ED49E5F" w14:textId="77777777" w:rsidR="00071D9B" w:rsidRDefault="00CD6920">
      <w:pPr>
        <w:spacing w:after="0"/>
      </w:pPr>
      <w:r>
        <w:rPr>
          <w:sz w:val="24"/>
          <w:szCs w:val="24"/>
          <w:lang w:val="en-GB" w:bidi="en-GB"/>
        </w:rPr>
        <w:t xml:space="preserve"> </w:t>
      </w:r>
    </w:p>
    <w:p w14:paraId="3ED49E60" w14:textId="77777777" w:rsidR="00071D9B" w:rsidRDefault="00CD6920">
      <w:pPr>
        <w:spacing w:after="0"/>
      </w:pPr>
      <w:r>
        <w:rPr>
          <w:sz w:val="24"/>
          <w:szCs w:val="24"/>
          <w:lang w:val="en-GB" w:bidi="en-GB"/>
        </w:rPr>
        <w:t xml:space="preserve"> </w:t>
      </w:r>
    </w:p>
    <w:p w14:paraId="3ED49E61" w14:textId="77777777" w:rsidR="00071D9B" w:rsidRDefault="00CD6920">
      <w:pPr>
        <w:spacing w:after="0"/>
      </w:pPr>
      <w:r>
        <w:rPr>
          <w:sz w:val="24"/>
          <w:szCs w:val="24"/>
          <w:lang w:val="en-GB" w:bidi="en-GB"/>
        </w:rPr>
        <w:t xml:space="preserve"> </w:t>
      </w:r>
    </w:p>
    <w:p w14:paraId="3ED49E62" w14:textId="77777777" w:rsidR="00071D9B" w:rsidRDefault="00CD6920">
      <w:pPr>
        <w:spacing w:after="0"/>
      </w:pPr>
      <w:r>
        <w:rPr>
          <w:sz w:val="24"/>
          <w:szCs w:val="24"/>
          <w:lang w:val="en-GB" w:bidi="en-GB"/>
        </w:rPr>
        <w:t xml:space="preserve"> </w:t>
      </w:r>
    </w:p>
    <w:p w14:paraId="3ED49E63" w14:textId="77777777" w:rsidR="00071D9B" w:rsidRDefault="00CD6920">
      <w:pPr>
        <w:spacing w:after="0"/>
      </w:pPr>
      <w:r>
        <w:rPr>
          <w:sz w:val="24"/>
          <w:szCs w:val="24"/>
          <w:lang w:val="en-GB" w:bidi="en-GB"/>
        </w:rPr>
        <w:t xml:space="preserve"> </w:t>
      </w:r>
    </w:p>
    <w:p w14:paraId="3ED49E64" w14:textId="77777777" w:rsidR="00071D9B" w:rsidRDefault="00CD6920">
      <w:pPr>
        <w:spacing w:after="0"/>
      </w:pPr>
      <w:r>
        <w:rPr>
          <w:sz w:val="24"/>
          <w:szCs w:val="24"/>
          <w:lang w:val="en-GB" w:bidi="en-GB"/>
        </w:rPr>
        <w:t xml:space="preserve"> </w:t>
      </w:r>
    </w:p>
    <w:p w14:paraId="3ED49E65" w14:textId="77777777" w:rsidR="00071D9B" w:rsidRDefault="00CD6920">
      <w:pPr>
        <w:spacing w:after="0"/>
      </w:pPr>
      <w:r>
        <w:rPr>
          <w:sz w:val="24"/>
          <w:szCs w:val="24"/>
          <w:lang w:val="en-GB" w:bidi="en-GB"/>
        </w:rPr>
        <w:t xml:space="preserve"> </w:t>
      </w:r>
    </w:p>
    <w:p w14:paraId="3ED49E66" w14:textId="77777777" w:rsidR="00071D9B" w:rsidRDefault="00CD6920">
      <w:pPr>
        <w:spacing w:after="0"/>
      </w:pPr>
      <w:r>
        <w:rPr>
          <w:sz w:val="24"/>
          <w:szCs w:val="24"/>
          <w:lang w:val="en-GB" w:bidi="en-GB"/>
        </w:rPr>
        <w:t xml:space="preserve"> </w:t>
      </w:r>
    </w:p>
    <w:sectPr w:rsidR="00071D9B" w:rsidSect="00CD6920">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22F48" w14:textId="77777777" w:rsidR="006375E1" w:rsidRDefault="006375E1" w:rsidP="00970138">
      <w:pPr>
        <w:spacing w:after="0" w:line="240" w:lineRule="auto"/>
      </w:pPr>
      <w:r>
        <w:separator/>
      </w:r>
    </w:p>
  </w:endnote>
  <w:endnote w:type="continuationSeparator" w:id="0">
    <w:p w14:paraId="00EC638A" w14:textId="77777777" w:rsidR="006375E1" w:rsidRDefault="006375E1" w:rsidP="00970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14DBF" w14:textId="77777777" w:rsidR="00055874" w:rsidRDefault="0005587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004320"/>
      <w:docPartObj>
        <w:docPartGallery w:val="Page Numbers (Bottom of Page)"/>
        <w:docPartUnique/>
      </w:docPartObj>
    </w:sdtPr>
    <w:sdtContent>
      <w:p w14:paraId="3ED49E6F" w14:textId="77777777" w:rsidR="00E02DE4" w:rsidRDefault="00E02DE4">
        <w:pPr>
          <w:pStyle w:val="Bunntekst"/>
          <w:jc w:val="right"/>
        </w:pPr>
        <w:r>
          <w:rPr>
            <w:lang w:val="en-GB" w:bidi="en-GB"/>
          </w:rPr>
          <w:fldChar w:fldCharType="begin"/>
        </w:r>
        <w:r>
          <w:rPr>
            <w:lang w:val="en-GB" w:bidi="en-GB"/>
          </w:rPr>
          <w:instrText>PAGE   \* MERGEFORMAT</w:instrText>
        </w:r>
        <w:r>
          <w:rPr>
            <w:lang w:val="en-GB" w:bidi="en-GB"/>
          </w:rPr>
          <w:fldChar w:fldCharType="separate"/>
        </w:r>
        <w:r w:rsidR="00452376">
          <w:rPr>
            <w:noProof/>
            <w:lang w:val="en-GB" w:bidi="en-GB"/>
          </w:rPr>
          <w:t>2</w:t>
        </w:r>
        <w:r>
          <w:rPr>
            <w:lang w:val="en-GB" w:bidi="en-GB"/>
          </w:rPr>
          <w:fldChar w:fldCharType="end"/>
        </w:r>
      </w:p>
    </w:sdtContent>
  </w:sdt>
  <w:p w14:paraId="3ED49E70" w14:textId="77777777" w:rsidR="00F3095D" w:rsidRDefault="00F3095D">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F5229" w14:textId="77777777" w:rsidR="00055874" w:rsidRDefault="0005587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6DED0" w14:textId="77777777" w:rsidR="006375E1" w:rsidRDefault="006375E1" w:rsidP="00970138">
      <w:pPr>
        <w:spacing w:after="0" w:line="240" w:lineRule="auto"/>
      </w:pPr>
      <w:r>
        <w:separator/>
      </w:r>
    </w:p>
  </w:footnote>
  <w:footnote w:type="continuationSeparator" w:id="0">
    <w:p w14:paraId="61973BF4" w14:textId="77777777" w:rsidR="006375E1" w:rsidRDefault="006375E1" w:rsidP="00970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DB920" w14:textId="77777777" w:rsidR="00055874" w:rsidRDefault="0005587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AF3CD" w14:textId="77777777" w:rsidR="00055874" w:rsidRDefault="00055874">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83CA2" w14:textId="77777777" w:rsidR="00055874" w:rsidRDefault="0005587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B4DCB"/>
    <w:multiLevelType w:val="hybridMultilevel"/>
    <w:tmpl w:val="6FAA39AA"/>
    <w:lvl w:ilvl="0" w:tplc="9CA4B8D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10CF0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141B5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8E7C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40523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B85FB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48D69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E8E2F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22E86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245145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D9B"/>
    <w:rsid w:val="00055874"/>
    <w:rsid w:val="00071D9B"/>
    <w:rsid w:val="00094E0D"/>
    <w:rsid w:val="0030190C"/>
    <w:rsid w:val="00452376"/>
    <w:rsid w:val="004E625F"/>
    <w:rsid w:val="00534893"/>
    <w:rsid w:val="005D0F11"/>
    <w:rsid w:val="006375E1"/>
    <w:rsid w:val="00677DC0"/>
    <w:rsid w:val="006F41F2"/>
    <w:rsid w:val="00831C54"/>
    <w:rsid w:val="00970138"/>
    <w:rsid w:val="00BA199E"/>
    <w:rsid w:val="00C411CB"/>
    <w:rsid w:val="00CD6920"/>
    <w:rsid w:val="00D53AF2"/>
    <w:rsid w:val="00D555C7"/>
    <w:rsid w:val="00DF20F4"/>
    <w:rsid w:val="00E02DE4"/>
    <w:rsid w:val="00F3095D"/>
    <w:rsid w:val="00FA0C68"/>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49E34"/>
  <w15:docId w15:val="{E5973053-D7CA-4634-AAB6-49B6B3F00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Overskrift1">
    <w:name w:val="heading 1"/>
    <w:next w:val="Normal"/>
    <w:link w:val="Overskrift1Tegn"/>
    <w:uiPriority w:val="9"/>
    <w:unhideWhenUsed/>
    <w:qFormat/>
    <w:pPr>
      <w:keepNext/>
      <w:keepLines/>
      <w:spacing w:after="0"/>
      <w:ind w:right="64"/>
      <w:jc w:val="center"/>
      <w:outlineLvl w:val="0"/>
    </w:pPr>
    <w:rPr>
      <w:rFonts w:ascii="Calibri" w:eastAsia="Calibri" w:hAnsi="Calibri" w:cs="Calibri"/>
      <w:b/>
      <w:color w:val="000000"/>
      <w:sz w:val="72"/>
      <w:shd w:val="clear" w:color="auto" w:fill="FFFF00"/>
    </w:rPr>
  </w:style>
  <w:style w:type="paragraph" w:styleId="Overskrift2">
    <w:name w:val="heading 2"/>
    <w:next w:val="Normal"/>
    <w:link w:val="Overskrift2Tegn"/>
    <w:uiPriority w:val="9"/>
    <w:unhideWhenUsed/>
    <w:qFormat/>
    <w:pPr>
      <w:keepNext/>
      <w:keepLines/>
      <w:spacing w:after="0"/>
      <w:outlineLvl w:val="1"/>
    </w:pPr>
    <w:rPr>
      <w:rFonts w:ascii="Cambria" w:eastAsia="Cambria" w:hAnsi="Cambria" w:cs="Cambria"/>
      <w:color w:val="365F91"/>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rPr>
      <w:rFonts w:ascii="Cambria" w:eastAsia="Cambria" w:hAnsi="Cambria" w:cs="Cambria"/>
      <w:color w:val="365F91"/>
      <w:sz w:val="32"/>
    </w:rPr>
  </w:style>
  <w:style w:type="character" w:customStyle="1" w:styleId="Overskrift1Tegn">
    <w:name w:val="Overskrift 1 Tegn"/>
    <w:link w:val="Overskrift1"/>
    <w:rPr>
      <w:rFonts w:ascii="Calibri" w:eastAsia="Calibri" w:hAnsi="Calibri" w:cs="Calibri"/>
      <w:b/>
      <w:color w:val="000000"/>
      <w:sz w:val="72"/>
      <w:shd w:val="clear" w:color="auto" w:fill="FFFF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opptekst">
    <w:name w:val="header"/>
    <w:basedOn w:val="Normal"/>
    <w:link w:val="TopptekstTegn"/>
    <w:uiPriority w:val="99"/>
    <w:unhideWhenUsed/>
    <w:rsid w:val="0097013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70138"/>
    <w:rPr>
      <w:rFonts w:ascii="Calibri" w:eastAsia="Calibri" w:hAnsi="Calibri" w:cs="Calibri"/>
      <w:color w:val="000000"/>
    </w:rPr>
  </w:style>
  <w:style w:type="paragraph" w:styleId="Bunntekst">
    <w:name w:val="footer"/>
    <w:basedOn w:val="Normal"/>
    <w:link w:val="BunntekstTegn"/>
    <w:uiPriority w:val="99"/>
    <w:unhideWhenUsed/>
    <w:rsid w:val="0097013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70138"/>
    <w:rPr>
      <w:rFonts w:ascii="Calibri" w:eastAsia="Calibri" w:hAnsi="Calibri" w:cs="Calibri"/>
      <w:color w:val="000000"/>
    </w:rPr>
  </w:style>
  <w:style w:type="character" w:styleId="Hyperkobling">
    <w:name w:val="Hyperlink"/>
    <w:basedOn w:val="Standardskriftforavsnitt"/>
    <w:uiPriority w:val="99"/>
    <w:unhideWhenUsed/>
    <w:rsid w:val="00D555C7"/>
    <w:rPr>
      <w:color w:val="0563C1" w:themeColor="hyperlink"/>
      <w:u w:val="single"/>
    </w:rPr>
  </w:style>
  <w:style w:type="character" w:styleId="Ulstomtale">
    <w:name w:val="Unresolved Mention"/>
    <w:basedOn w:val="Standardskriftforavsnitt"/>
    <w:uiPriority w:val="99"/>
    <w:semiHidden/>
    <w:unhideWhenUsed/>
    <w:rsid w:val="00D555C7"/>
    <w:rPr>
      <w:color w:val="605E5C"/>
      <w:shd w:val="clear" w:color="auto" w:fill="E1DFDD"/>
    </w:rPr>
  </w:style>
  <w:style w:type="character" w:styleId="Fulgthyperkobling">
    <w:name w:val="FollowedHyperlink"/>
    <w:basedOn w:val="Standardskriftforavsnitt"/>
    <w:uiPriority w:val="99"/>
    <w:semiHidden/>
    <w:unhideWhenUsed/>
    <w:rsid w:val="006F41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hr.no/_f/p1/iec171c06-38f2-4436-bce4-6621a6d32657/rapport_om_bestatt_ikkje_bestatt_10_112015.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uhr.no/_f/p1/i4bfb251a-5e7c-4e34-916b-85478c61a800/karaktersystemet_generelle_kvalitative_beskrivelser.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ord.no/en/Student/exam/examiners/Pages/default.aspx"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CC7A3A6E59E14F803F468A378ADE95" ma:contentTypeVersion="7" ma:contentTypeDescription="Opprett et nytt dokument." ma:contentTypeScope="" ma:versionID="fec30bcb18a5e907313a5884b8e82244">
  <xsd:schema xmlns:xsd="http://www.w3.org/2001/XMLSchema" xmlns:xs="http://www.w3.org/2001/XMLSchema" xmlns:p="http://schemas.microsoft.com/office/2006/metadata/properties" xmlns:ns1="http://schemas.microsoft.com/sharepoint/v3" xmlns:ns2="73051fd9-4e97-408e-94f7-903861a0153e" xmlns:ns3="646d1fec-a31d-49a6-bdd1-c70801f24bf0" xmlns:ns4="1d5941b2-4001-448f-97b1-17dae2db9e12" targetNamespace="http://schemas.microsoft.com/office/2006/metadata/properties" ma:root="true" ma:fieldsID="150eb97b94b0646027b56ea936884898" ns1:_="" ns2:_="" ns3:_="" ns4:_="">
    <xsd:import namespace="http://schemas.microsoft.com/sharepoint/v3"/>
    <xsd:import namespace="73051fd9-4e97-408e-94f7-903861a0153e"/>
    <xsd:import namespace="646d1fec-a31d-49a6-bdd1-c70801f24bf0"/>
    <xsd:import namespace="1d5941b2-4001-448f-97b1-17dae2db9e12"/>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051fd9-4e97-408e-94f7-903861a0153e"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6d1fec-a31d-49a6-bdd1-c70801f24bf0" elementFormDefault="qualified">
    <xsd:import namespace="http://schemas.microsoft.com/office/2006/documentManagement/types"/>
    <xsd:import namespace="http://schemas.microsoft.com/office/infopath/2007/PartnerControls"/>
    <xsd:element name="LastSharedByUser" ma:index="12" nillable="true" ma:displayName="Sist delt etter bruker" ma:description="" ma:internalName="LastSharedByUser" ma:readOnly="true">
      <xsd:simpleType>
        <xsd:restriction base="dms:Note">
          <xsd:maxLength value="255"/>
        </xsd:restriction>
      </xsd:simpleType>
    </xsd:element>
    <xsd:element name="LastSharedByTime" ma:index="13"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5941b2-4001-448f-97b1-17dae2db9e12"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1219C4-0A37-4CC5-88BE-929204794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051fd9-4e97-408e-94f7-903861a0153e"/>
    <ds:schemaRef ds:uri="646d1fec-a31d-49a6-bdd1-c70801f24bf0"/>
    <ds:schemaRef ds:uri="1d5941b2-4001-448f-97b1-17dae2db9e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A3BE52-1378-4C2B-AE6B-4C6677B0F59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0401A0A-B480-480F-A77D-61C01A27BC68}">
  <ds:schemaRefs>
    <ds:schemaRef ds:uri="http://schemas.microsoft.com/sharepoint/v3/contenttype/forms"/>
  </ds:schemaRefs>
</ds:datastoreItem>
</file>

<file path=docMetadata/LabelInfo.xml><?xml version="1.0" encoding="utf-8"?>
<clbl:labelList xmlns:clbl="http://schemas.microsoft.com/office/2020/mipLabelMetadata">
  <clbl:label id="{43b303ab-7198-40dd-8c74-47e8ccb3836e}" enabled="1" method="Standard" siteId="{fed13d9f-21df-485d-909a-231f3c6d16f0}"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2675</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Forsidemal skoleeksamen bokmål</vt:lpstr>
    </vt:vector>
  </TitlesOfParts>
  <Company>University of Nordland</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Examiner Guidelines (mal for sensorveiledning)</dc:title>
  <dc:subject/>
  <dc:creator>Tollåli</dc:creator>
  <cp:keywords/>
  <cp:lastModifiedBy>Wenche Rødal</cp:lastModifiedBy>
  <cp:revision>2</cp:revision>
  <dcterms:created xsi:type="dcterms:W3CDTF">2023-09-25T08:27:00Z</dcterms:created>
  <dcterms:modified xsi:type="dcterms:W3CDTF">2023-09-25T08:27:00Z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0x01010063CC7A3A6E59E14F803F468A378ADE95</vt:lpwstr>
  </property>
  <property fmtid="{D5CDD505-2E9C-101B-9397-08002B2CF9AE}" pid="3" name="MSIP_Label_43b303ab-7198-40dd-8c74-47e8ccb3836e_Enabled">
    <vt:lpwstr>true</vt:lpwstr>
  </property>
  <property fmtid="{D5CDD505-2E9C-101B-9397-08002B2CF9AE}" pid="4" name="MSIP_Label_43b303ab-7198-40dd-8c74-47e8ccb3836e_SetDate">
    <vt:lpwstr>2020-11-26T13:37:30Z</vt:lpwstr>
  </property>
  <property fmtid="{D5CDD505-2E9C-101B-9397-08002B2CF9AE}" pid="5" name="MSIP_Label_43b303ab-7198-40dd-8c74-47e8ccb3836e_Method">
    <vt:lpwstr>Standard</vt:lpwstr>
  </property>
  <property fmtid="{D5CDD505-2E9C-101B-9397-08002B2CF9AE}" pid="6" name="MSIP_Label_43b303ab-7198-40dd-8c74-47e8ccb3836e_Name">
    <vt:lpwstr>43b303ab-7198-40dd-8c74-47e8ccb3836e</vt:lpwstr>
  </property>
  <property fmtid="{D5CDD505-2E9C-101B-9397-08002B2CF9AE}" pid="7" name="MSIP_Label_43b303ab-7198-40dd-8c74-47e8ccb3836e_SiteId">
    <vt:lpwstr>fed13d9f-21df-485d-909a-231f3c6d16f0</vt:lpwstr>
  </property>
  <property fmtid="{D5CDD505-2E9C-101B-9397-08002B2CF9AE}" pid="8" name="MSIP_Label_43b303ab-7198-40dd-8c74-47e8ccb3836e_ActionId">
    <vt:lpwstr/>
  </property>
  <property fmtid="{D5CDD505-2E9C-101B-9397-08002B2CF9AE}" pid="9" name="MSIP_Label_43b303ab-7198-40dd-8c74-47e8ccb3836e_ContentBits">
    <vt:lpwstr>0</vt:lpwstr>
  </property>
</Properties>
</file>